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58.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558"/>
        <w:tblGridChange w:id="0">
          <w:tblGrid>
            <w:gridCol w:w="9558"/>
          </w:tblGrid>
        </w:tblGridChange>
      </w:tblGrid>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Nebraska Concussion Awareness Act </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(Return to Play/Return to Learn)</w:t>
            </w:r>
          </w:p>
          <w:p w:rsidR="00000000" w:rsidDel="00000000" w:rsidP="00000000" w:rsidRDefault="00000000" w:rsidRPr="00000000" w14:paraId="00000004">
            <w:pPr>
              <w:jc w:val="center"/>
              <w:rPr>
                <w:b w:val="1"/>
                <w:sz w:val="32"/>
                <w:szCs w:val="32"/>
              </w:rPr>
            </w:pPr>
            <w:bookmarkStart w:colFirst="0" w:colLast="0" w:name="_heading=h.gjdgxs" w:id="0"/>
            <w:bookmarkEnd w:id="0"/>
            <w:r w:rsidDel="00000000" w:rsidR="00000000" w:rsidRPr="00000000">
              <w:rPr>
                <w:b w:val="1"/>
                <w:sz w:val="32"/>
                <w:szCs w:val="32"/>
                <w:rtl w:val="0"/>
              </w:rPr>
              <w:t xml:space="preserve">Chapter 71,</w:t>
            </w:r>
            <w:r w:rsidDel="00000000" w:rsidR="00000000" w:rsidRPr="00000000">
              <w:rPr>
                <w:b w:val="1"/>
                <w:color w:val="000000"/>
                <w:sz w:val="32"/>
                <w:szCs w:val="32"/>
                <w:rtl w:val="0"/>
              </w:rPr>
              <w:t xml:space="preserve"> Sections 71-9101 to 71-9106</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6">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Nebraska Legislature passed the Concussion Awareness Act on April 8, 2011, which became effective in Nebraska on July 1, 2012. The purpose is to provide a consistent means to identify and manage concussions and to help ensure the safety of those involved in youth sports. The Concussion Awareness Act contains three made provisions:</w:t>
            </w:r>
          </w:p>
          <w:p w:rsidR="00000000" w:rsidDel="00000000" w:rsidP="00000000" w:rsidRDefault="00000000" w:rsidRPr="00000000" w14:paraId="00000007">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Education: coaches, parents and student athletes</w:t>
            </w:r>
          </w:p>
          <w:p w:rsidR="00000000" w:rsidDel="00000000" w:rsidP="00000000" w:rsidRDefault="00000000" w:rsidRPr="00000000" w14:paraId="00000009">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Removal from play if a concussion is reasonably suspected</w:t>
            </w:r>
          </w:p>
          <w:p w:rsidR="00000000" w:rsidDel="00000000" w:rsidP="00000000" w:rsidRDefault="00000000" w:rsidRPr="00000000" w14:paraId="0000000A">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Clearance by a licensed health care professional.</w:t>
            </w:r>
          </w:p>
          <w:p w:rsidR="00000000" w:rsidDel="00000000" w:rsidP="00000000" w:rsidRDefault="00000000" w:rsidRPr="00000000" w14:paraId="0000000B">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Fonts w:ascii="Calibri" w:cs="Calibri" w:eastAsia="Calibri" w:hAnsi="Calibri"/>
                <w:sz w:val="28"/>
                <w:szCs w:val="28"/>
                <w:rtl w:val="0"/>
              </w:rPr>
              <w:t xml:space="preserve">The Concussion Awareness Act was amended in 2014 and requires schools to put in place “Return to Learn” protocols for students who have concussion-related symptoms that affect academic learning. </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0D">
            <w:pPr>
              <w:jc w:val="center"/>
              <w:rPr>
                <w:b w:val="1"/>
                <w:sz w:val="28"/>
                <w:szCs w:val="28"/>
              </w:rPr>
            </w:pPr>
            <w:r w:rsidDel="00000000" w:rsidR="00000000" w:rsidRPr="00000000">
              <w:rPr>
                <w:rtl w:val="0"/>
              </w:rPr>
            </w:r>
          </w:p>
          <w:p w:rsidR="00000000" w:rsidDel="00000000" w:rsidP="00000000" w:rsidRDefault="00000000" w:rsidRPr="00000000" w14:paraId="0000000E">
            <w:pPr>
              <w:jc w:val="center"/>
              <w:rPr>
                <w:b w:val="1"/>
                <w:sz w:val="28"/>
                <w:szCs w:val="28"/>
              </w:rPr>
            </w:pPr>
            <w:r w:rsidDel="00000000" w:rsidR="00000000" w:rsidRPr="00000000">
              <w:rPr>
                <w:b w:val="1"/>
                <w:sz w:val="28"/>
                <w:szCs w:val="28"/>
                <w:rtl w:val="0"/>
              </w:rPr>
              <w:t xml:space="preserve">Responsible State Department</w:t>
            </w:r>
          </w:p>
          <w:p w:rsidR="00000000" w:rsidDel="00000000" w:rsidP="00000000" w:rsidRDefault="00000000" w:rsidRPr="00000000" w14:paraId="0000000F">
            <w:pPr>
              <w:jc w:val="center"/>
              <w:rPr>
                <w:sz w:val="28"/>
                <w:szCs w:val="28"/>
              </w:rPr>
            </w:pPr>
            <w:r w:rsidDel="00000000" w:rsidR="00000000" w:rsidRPr="00000000">
              <w:rPr>
                <w:sz w:val="28"/>
                <w:szCs w:val="28"/>
                <w:rtl w:val="0"/>
              </w:rPr>
              <w:t xml:space="preserve">Department of Education</w:t>
            </w:r>
          </w:p>
          <w:p w:rsidR="00000000" w:rsidDel="00000000" w:rsidP="00000000" w:rsidRDefault="00000000" w:rsidRPr="00000000" w14:paraId="00000010">
            <w:pPr>
              <w:rPr>
                <w:sz w:val="28"/>
                <w:szCs w:val="28"/>
              </w:rPr>
            </w:pP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11">
            <w:pPr>
              <w:jc w:val="center"/>
              <w:rPr>
                <w:b w:val="1"/>
                <w:sz w:val="28"/>
                <w:szCs w:val="28"/>
              </w:rPr>
            </w:pPr>
            <w:r w:rsidDel="00000000" w:rsidR="00000000" w:rsidRPr="00000000">
              <w:rPr>
                <w:rtl w:val="0"/>
              </w:rPr>
            </w:r>
          </w:p>
          <w:p w:rsidR="00000000" w:rsidDel="00000000" w:rsidP="00000000" w:rsidRDefault="00000000" w:rsidRPr="00000000" w14:paraId="00000012">
            <w:pPr>
              <w:jc w:val="center"/>
              <w:rPr>
                <w:b w:val="1"/>
                <w:sz w:val="28"/>
                <w:szCs w:val="28"/>
              </w:rPr>
            </w:pPr>
            <w:r w:rsidDel="00000000" w:rsidR="00000000" w:rsidRPr="00000000">
              <w:rPr>
                <w:b w:val="1"/>
                <w:sz w:val="28"/>
                <w:szCs w:val="28"/>
                <w:rtl w:val="0"/>
              </w:rPr>
              <w:t xml:space="preserve">How Do the State Statutes Apply to People with Brain Injury</w:t>
            </w:r>
          </w:p>
          <w:p w:rsidR="00000000" w:rsidDel="00000000" w:rsidP="00000000" w:rsidRDefault="00000000" w:rsidRPr="00000000" w14:paraId="00000013">
            <w:pPr>
              <w:jc w:val="both"/>
              <w:rPr>
                <w:sz w:val="28"/>
                <w:szCs w:val="28"/>
              </w:rPr>
            </w:pPr>
            <w:r w:rsidDel="00000000" w:rsidR="00000000" w:rsidRPr="00000000">
              <w:rPr>
                <w:sz w:val="28"/>
                <w:szCs w:val="28"/>
                <w:rtl w:val="0"/>
              </w:rPr>
              <w:t xml:space="preserve">The statutes direct each approved or accredited public, private, denominational, or parochial school to establish “return to play” and “return to learn” protocols to minimize risk and consequences of concussion from playing sports and to assist students who sustain concussions that impact academic learning.</w:t>
            </w:r>
          </w:p>
          <w:p w:rsidR="00000000" w:rsidDel="00000000" w:rsidP="00000000" w:rsidRDefault="00000000" w:rsidRPr="00000000" w14:paraId="00000014">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Department of Education developed the first guidance; “</w:t>
            </w:r>
            <w:r w:rsidDel="00000000" w:rsidR="00000000" w:rsidRPr="00000000">
              <w:rPr>
                <w:sz w:val="28"/>
                <w:szCs w:val="28"/>
                <w:rtl w:val="0"/>
              </w:rPr>
              <w:t xml:space="preserve">Return to Learn: Bridging the Gap from Concussion to Classroom,” in 2014 to provide guidance to assist Nebraska School Districts in developing a concussion management protocol. It was updated in 2018 for best practices to ensure that school personnel have the resources necessary to facilitate the return of a student to the classroom and the field of play following an injury. </w:t>
            </w:r>
            <w:r w:rsidDel="00000000" w:rsidR="00000000" w:rsidRPr="00000000">
              <w:rPr>
                <w:rtl w:val="0"/>
              </w:rPr>
            </w:r>
          </w:p>
          <w:p w:rsidR="00000000" w:rsidDel="00000000" w:rsidP="00000000" w:rsidRDefault="00000000" w:rsidRPr="00000000" w14:paraId="00000016">
            <w:pPr>
              <w:jc w:val="both"/>
              <w:rPr>
                <w:sz w:val="28"/>
                <w:szCs w:val="28"/>
              </w:rPr>
            </w:pP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17">
            <w:pPr>
              <w:jc w:val="center"/>
              <w:rPr>
                <w:b w:val="1"/>
                <w:sz w:val="28"/>
                <w:szCs w:val="28"/>
              </w:rPr>
            </w:pPr>
            <w:r w:rsidDel="00000000" w:rsidR="00000000" w:rsidRPr="00000000">
              <w:rPr>
                <w:b w:val="1"/>
                <w:sz w:val="28"/>
                <w:szCs w:val="28"/>
                <w:rtl w:val="0"/>
              </w:rPr>
              <w:t xml:space="preserve">Pertinent sections</w:t>
            </w:r>
          </w:p>
          <w:p w:rsidR="00000000" w:rsidDel="00000000" w:rsidP="00000000" w:rsidRDefault="00000000" w:rsidRPr="00000000" w14:paraId="00000018">
            <w:pPr>
              <w:jc w:val="both"/>
              <w:rPr>
                <w:sz w:val="28"/>
                <w:szCs w:val="28"/>
              </w:rPr>
            </w:pPr>
            <w:r w:rsidDel="00000000" w:rsidR="00000000" w:rsidRPr="00000000">
              <w:rPr>
                <w:sz w:val="28"/>
                <w:szCs w:val="28"/>
                <w:rtl w:val="0"/>
              </w:rPr>
              <w:t xml:space="preserve">71-9104 (a), pertains to return to play (training of coaches, return to play guidelines); (c) pertains to return to learn.</w:t>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19">
            <w:pPr>
              <w:jc w:val="center"/>
              <w:rPr>
                <w:b w:val="1"/>
                <w:sz w:val="28"/>
                <w:szCs w:val="28"/>
              </w:rPr>
            </w:pPr>
            <w:r w:rsidDel="00000000" w:rsidR="00000000" w:rsidRPr="00000000">
              <w:rPr>
                <w:b w:val="1"/>
                <w:sz w:val="28"/>
                <w:szCs w:val="28"/>
                <w:rtl w:val="0"/>
              </w:rPr>
              <w:t xml:space="preserve">Web page link:</w:t>
            </w:r>
          </w:p>
          <w:p w:rsidR="00000000" w:rsidDel="00000000" w:rsidP="00000000" w:rsidRDefault="00000000" w:rsidRPr="00000000" w14:paraId="0000001A">
            <w:pPr>
              <w:jc w:val="center"/>
              <w:rPr>
                <w:sz w:val="28"/>
                <w:szCs w:val="28"/>
              </w:rPr>
            </w:pPr>
            <w:hyperlink r:id="rId7">
              <w:r w:rsidDel="00000000" w:rsidR="00000000" w:rsidRPr="00000000">
                <w:rPr>
                  <w:color w:val="000066"/>
                  <w:sz w:val="28"/>
                  <w:szCs w:val="28"/>
                  <w:u w:val="single"/>
                  <w:rtl w:val="0"/>
                </w:rPr>
                <w:t xml:space="preserve">https://www.education.ne.gov/sped/birsst-brain-injury-regional-school-support-teams/</w:t>
              </w:r>
            </w:hyperlink>
            <w:r w:rsidDel="00000000" w:rsidR="00000000" w:rsidRPr="00000000">
              <w:rPr>
                <w:rtl w:val="0"/>
              </w:rPr>
            </w:r>
          </w:p>
          <w:p w:rsidR="00000000" w:rsidDel="00000000" w:rsidP="00000000" w:rsidRDefault="00000000" w:rsidRPr="00000000" w14:paraId="0000001B">
            <w:pPr>
              <w:jc w:val="center"/>
              <w:rPr>
                <w:sz w:val="28"/>
                <w:szCs w:val="28"/>
              </w:rPr>
            </w:pP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1C">
            <w:pPr>
              <w:jc w:val="center"/>
              <w:rPr>
                <w:b w:val="1"/>
                <w:sz w:val="28"/>
                <w:szCs w:val="28"/>
              </w:rPr>
            </w:pPr>
            <w:r w:rsidDel="00000000" w:rsidR="00000000" w:rsidRPr="00000000">
              <w:rPr>
                <w:b w:val="1"/>
                <w:sz w:val="28"/>
                <w:szCs w:val="28"/>
                <w:rtl w:val="0"/>
              </w:rPr>
              <w:t xml:space="preserve">Relevant Organizations/Partners:</w:t>
            </w:r>
          </w:p>
          <w:p w:rsidR="00000000" w:rsidDel="00000000" w:rsidP="00000000" w:rsidRDefault="00000000" w:rsidRPr="00000000" w14:paraId="0000001D">
            <w:pPr>
              <w:rPr>
                <w:sz w:val="28"/>
                <w:szCs w:val="28"/>
              </w:rPr>
            </w:pPr>
            <w:r w:rsidDel="00000000" w:rsidR="00000000" w:rsidRPr="00000000">
              <w:rPr>
                <w:sz w:val="28"/>
                <w:szCs w:val="28"/>
                <w:rtl w:val="0"/>
              </w:rPr>
              <w:t xml:space="preserve">Nebraska State Athletic Trainers’ Association; Nebraska Council for Exceptional Children (CEC); Nebraska NEA; Nebraska PTA</w:t>
            </w:r>
          </w:p>
          <w:p w:rsidR="00000000" w:rsidDel="00000000" w:rsidP="00000000" w:rsidRDefault="00000000" w:rsidRPr="00000000" w14:paraId="0000001E">
            <w:pPr>
              <w:rPr>
                <w:sz w:val="28"/>
                <w:szCs w:val="28"/>
              </w:rPr>
            </w:pPr>
            <w:r w:rsidDel="00000000" w:rsidR="00000000" w:rsidRPr="00000000">
              <w:rPr>
                <w:rtl w:val="0"/>
              </w:rPr>
            </w:r>
          </w:p>
        </w:tc>
      </w:tr>
    </w:tbl>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b w:val="1"/>
          <w:color w:val="000000"/>
          <w:sz w:val="28"/>
          <w:szCs w:val="28"/>
        </w:rPr>
      </w:pPr>
      <w:r w:rsidDel="00000000" w:rsidR="00000000" w:rsidRPr="00000000">
        <w:rPr>
          <w:b w:val="1"/>
          <w:color w:val="000000"/>
          <w:sz w:val="28"/>
          <w:szCs w:val="28"/>
          <w:rtl w:val="0"/>
        </w:rPr>
        <w:t xml:space="preserve">Sections 71-9101 to 71-9106 shall be known and may be cited as the Concussion Awareness Act. </w:t>
      </w:r>
    </w:p>
    <w:p w:rsidR="00000000" w:rsidDel="00000000" w:rsidP="00000000" w:rsidRDefault="00000000" w:rsidRPr="00000000" w14:paraId="00000021">
      <w:pP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22">
      <w:pPr>
        <w:spacing w:after="0" w:line="240" w:lineRule="auto"/>
        <w:rPr>
          <w:b w:val="1"/>
          <w:color w:val="000000"/>
          <w:sz w:val="28"/>
          <w:szCs w:val="28"/>
        </w:rPr>
      </w:pPr>
      <w:r w:rsidDel="00000000" w:rsidR="00000000" w:rsidRPr="00000000">
        <w:rPr>
          <w:b w:val="1"/>
          <w:color w:val="000000"/>
          <w:sz w:val="28"/>
          <w:szCs w:val="28"/>
          <w:rtl w:val="0"/>
        </w:rPr>
        <w:t xml:space="preserve">Section 71-9102.</w:t>
      </w:r>
      <w:r w:rsidDel="00000000" w:rsidR="00000000" w:rsidRPr="00000000">
        <w:rPr>
          <w:color w:val="000000"/>
          <w:sz w:val="28"/>
          <w:szCs w:val="28"/>
          <w:rtl w:val="0"/>
        </w:rPr>
        <w:t xml:space="preserve"> </w:t>
      </w:r>
      <w:r w:rsidDel="00000000" w:rsidR="00000000" w:rsidRPr="00000000">
        <w:rPr>
          <w:b w:val="1"/>
          <w:color w:val="000000"/>
          <w:sz w:val="28"/>
          <w:szCs w:val="28"/>
          <w:rtl w:val="0"/>
        </w:rPr>
        <w:t xml:space="preserve">Legislative findings </w:t>
      </w:r>
    </w:p>
    <w:p w:rsidR="00000000" w:rsidDel="00000000" w:rsidP="00000000" w:rsidRDefault="00000000" w:rsidRPr="00000000" w14:paraId="00000023">
      <w:pPr>
        <w:spacing w:after="0" w:line="240" w:lineRule="auto"/>
        <w:jc w:val="both"/>
        <w:rPr>
          <w:color w:val="000000"/>
          <w:sz w:val="28"/>
          <w:szCs w:val="28"/>
        </w:rPr>
      </w:pPr>
      <w:r w:rsidDel="00000000" w:rsidR="00000000" w:rsidRPr="00000000">
        <w:rPr>
          <w:color w:val="000000"/>
          <w:sz w:val="28"/>
          <w:szCs w:val="28"/>
          <w:rtl w:val="0"/>
        </w:rPr>
        <w:t xml:space="preserve">(1) The Legislature finds that concussions are one of the most commonly reported injuries in children and adolescents who participate in sports and recreational activities and that the risk of catastrophic injury or death is significant when a concussion or brain injury is not properly evaluated and managed.</w:t>
      </w:r>
    </w:p>
    <w:p w:rsidR="00000000" w:rsidDel="00000000" w:rsidP="00000000" w:rsidRDefault="00000000" w:rsidRPr="00000000" w14:paraId="00000024">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25">
      <w:pPr>
        <w:spacing w:after="0" w:line="240" w:lineRule="auto"/>
        <w:jc w:val="both"/>
        <w:rPr>
          <w:color w:val="000000"/>
          <w:sz w:val="28"/>
          <w:szCs w:val="28"/>
        </w:rPr>
      </w:pPr>
      <w:r w:rsidDel="00000000" w:rsidR="00000000" w:rsidRPr="00000000">
        <w:rPr>
          <w:color w:val="000000"/>
          <w:sz w:val="28"/>
          <w:szCs w:val="28"/>
          <w:rtl w:val="0"/>
        </w:rPr>
        <w:t xml:space="preserve">(2) The Legislature further finds that concussions are a type of brain injury that can range from mild to severe and can disrupt the way the brain normally works. Concussions can occur in any organized or unorganized sport or recreational activity and can result from a fall or from players colliding with each other, the ground, or with obstacles. Concussions occur with or without loss of consciousness, but the vast majority occur without loss of consciousness. </w:t>
      </w:r>
    </w:p>
    <w:p w:rsidR="00000000" w:rsidDel="00000000" w:rsidP="00000000" w:rsidRDefault="00000000" w:rsidRPr="00000000" w14:paraId="00000026">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27">
      <w:pPr>
        <w:spacing w:after="0" w:line="240" w:lineRule="auto"/>
        <w:jc w:val="both"/>
        <w:rPr>
          <w:color w:val="000000"/>
          <w:sz w:val="28"/>
          <w:szCs w:val="28"/>
        </w:rPr>
      </w:pPr>
      <w:r w:rsidDel="00000000" w:rsidR="00000000" w:rsidRPr="00000000">
        <w:rPr>
          <w:color w:val="000000"/>
          <w:sz w:val="28"/>
          <w:szCs w:val="28"/>
          <w:rtl w:val="0"/>
        </w:rPr>
        <w:t xml:space="preserve">(3) The Legislature further finds that continuing to play with a concussion or symptoms of brain injury leaves a young athlete especially vulnerable to greater injury and even death. The Legislature recognizes that, despite having generally recognized return-to-play standards for concussion and brain injury, some young athletes are prematurely returned to play, resulting in actual or potential physical injury or death. </w:t>
      </w:r>
    </w:p>
    <w:p w:rsidR="00000000" w:rsidDel="00000000" w:rsidP="00000000" w:rsidRDefault="00000000" w:rsidRPr="00000000" w14:paraId="00000028">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29">
      <w:pPr>
        <w:spacing w:after="0" w:line="240" w:lineRule="auto"/>
        <w:jc w:val="both"/>
        <w:rPr>
          <w:color w:val="000000"/>
          <w:sz w:val="28"/>
          <w:szCs w:val="28"/>
        </w:rPr>
      </w:pPr>
      <w:r w:rsidDel="00000000" w:rsidR="00000000" w:rsidRPr="00000000">
        <w:rPr>
          <w:b w:val="1"/>
          <w:color w:val="000000"/>
          <w:sz w:val="28"/>
          <w:szCs w:val="28"/>
          <w:rtl w:val="0"/>
        </w:rPr>
        <w:t xml:space="preserve">Section 71-9103.</w:t>
      </w:r>
      <w:r w:rsidDel="00000000" w:rsidR="00000000" w:rsidRPr="00000000">
        <w:rPr>
          <w:color w:val="000000"/>
          <w:sz w:val="28"/>
          <w:szCs w:val="28"/>
          <w:rtl w:val="0"/>
        </w:rPr>
        <w:t xml:space="preserve"> </w:t>
      </w:r>
      <w:r w:rsidDel="00000000" w:rsidR="00000000" w:rsidRPr="00000000">
        <w:rPr>
          <w:b w:val="1"/>
          <w:color w:val="000000"/>
          <w:sz w:val="28"/>
          <w:szCs w:val="28"/>
          <w:rtl w:val="0"/>
        </w:rPr>
        <w:t xml:space="preserve">Terms, defined</w:t>
      </w:r>
      <w:r w:rsidDel="00000000" w:rsidR="00000000" w:rsidRPr="00000000">
        <w:rPr>
          <w:color w:val="000000"/>
          <w:sz w:val="28"/>
          <w:szCs w:val="28"/>
          <w:rtl w:val="0"/>
        </w:rPr>
        <w:t xml:space="preserve"> </w:t>
      </w:r>
    </w:p>
    <w:p w:rsidR="00000000" w:rsidDel="00000000" w:rsidP="00000000" w:rsidRDefault="00000000" w:rsidRPr="00000000" w14:paraId="0000002A">
      <w:pPr>
        <w:spacing w:after="0" w:line="240" w:lineRule="auto"/>
        <w:jc w:val="both"/>
        <w:rPr>
          <w:color w:val="000000"/>
          <w:sz w:val="28"/>
          <w:szCs w:val="28"/>
        </w:rPr>
      </w:pPr>
      <w:r w:rsidDel="00000000" w:rsidR="00000000" w:rsidRPr="00000000">
        <w:rPr>
          <w:color w:val="000000"/>
          <w:sz w:val="28"/>
          <w:szCs w:val="28"/>
          <w:rtl w:val="0"/>
        </w:rPr>
        <w:t xml:space="preserve">For purposes of the Concussion Awareness Act: </w:t>
      </w:r>
    </w:p>
    <w:p w:rsidR="00000000" w:rsidDel="00000000" w:rsidP="00000000" w:rsidRDefault="00000000" w:rsidRPr="00000000" w14:paraId="0000002B">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2C">
      <w:pPr>
        <w:spacing w:after="0" w:line="240" w:lineRule="auto"/>
        <w:jc w:val="both"/>
        <w:rPr>
          <w:color w:val="000000"/>
          <w:sz w:val="28"/>
          <w:szCs w:val="28"/>
        </w:rPr>
      </w:pPr>
      <w:r w:rsidDel="00000000" w:rsidR="00000000" w:rsidRPr="00000000">
        <w:rPr>
          <w:color w:val="000000"/>
          <w:sz w:val="28"/>
          <w:szCs w:val="28"/>
          <w:rtl w:val="0"/>
        </w:rPr>
        <w:t xml:space="preserve">(1) Chief medical officer means the chief medical officer as designated in section 81-3115; and </w:t>
      </w:r>
    </w:p>
    <w:p w:rsidR="00000000" w:rsidDel="00000000" w:rsidP="00000000" w:rsidRDefault="00000000" w:rsidRPr="00000000" w14:paraId="0000002D">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2E">
      <w:pPr>
        <w:spacing w:after="0" w:line="240" w:lineRule="auto"/>
        <w:jc w:val="both"/>
        <w:rPr>
          <w:color w:val="000000"/>
          <w:sz w:val="28"/>
          <w:szCs w:val="28"/>
        </w:rPr>
      </w:pPr>
      <w:r w:rsidDel="00000000" w:rsidR="00000000" w:rsidRPr="00000000">
        <w:rPr>
          <w:color w:val="000000"/>
          <w:sz w:val="28"/>
          <w:szCs w:val="28"/>
          <w:rtl w:val="0"/>
        </w:rPr>
        <w:t xml:space="preserve">(2) Licensed health care professional means a physician or licensed practitioner under the direct supervision of a physician, a certified athletic trainer, a neuropsychologist, or some other qualified individual who (a) is registered, licensed, certified, or otherwise statutorily recognized by the State of Nebraska to provide health care services and (b) is trained in the evaluation and management of traumatic brain injuries among a pediatric population. </w:t>
      </w:r>
    </w:p>
    <w:p w:rsidR="00000000" w:rsidDel="00000000" w:rsidP="00000000" w:rsidRDefault="00000000" w:rsidRPr="00000000" w14:paraId="0000002F">
      <w:pPr>
        <w:shd w:fill="ffffff" w:val="clear"/>
        <w:spacing w:after="0" w:line="240" w:lineRule="auto"/>
        <w:jc w:val="both"/>
        <w:rPr>
          <w:b w:val="1"/>
          <w:color w:val="212529"/>
          <w:sz w:val="28"/>
          <w:szCs w:val="28"/>
        </w:rPr>
      </w:pPr>
      <w:r w:rsidDel="00000000" w:rsidR="00000000" w:rsidRPr="00000000">
        <w:rPr>
          <w:rtl w:val="0"/>
        </w:rPr>
      </w:r>
    </w:p>
    <w:p w:rsidR="00000000" w:rsidDel="00000000" w:rsidP="00000000" w:rsidRDefault="00000000" w:rsidRPr="00000000" w14:paraId="00000030">
      <w:pPr>
        <w:shd w:fill="ffffff" w:val="clear"/>
        <w:spacing w:after="0" w:line="240" w:lineRule="auto"/>
        <w:jc w:val="both"/>
        <w:rPr>
          <w:b w:val="1"/>
          <w:color w:val="212529"/>
          <w:sz w:val="28"/>
          <w:szCs w:val="28"/>
        </w:rPr>
      </w:pPr>
      <w:r w:rsidDel="00000000" w:rsidR="00000000" w:rsidRPr="00000000">
        <w:rPr>
          <w:b w:val="1"/>
          <w:color w:val="212529"/>
          <w:sz w:val="28"/>
          <w:szCs w:val="28"/>
          <w:rtl w:val="0"/>
        </w:rPr>
        <w:t xml:space="preserve">Section 71-9104. Schools; duties; participant on athletic team; actions required; notice to parent or guardian; effect of signature of licensed health care professional.</w:t>
      </w:r>
    </w:p>
    <w:p w:rsidR="00000000" w:rsidDel="00000000" w:rsidP="00000000" w:rsidRDefault="00000000" w:rsidRPr="00000000" w14:paraId="00000031">
      <w:pPr>
        <w:shd w:fill="ffffff" w:val="clear"/>
        <w:spacing w:after="0" w:line="240" w:lineRule="auto"/>
        <w:jc w:val="both"/>
        <w:rPr>
          <w:sz w:val="28"/>
          <w:szCs w:val="28"/>
        </w:rPr>
      </w:pPr>
      <w:r w:rsidDel="00000000" w:rsidR="00000000" w:rsidRPr="00000000">
        <w:rPr>
          <w:sz w:val="28"/>
          <w:szCs w:val="28"/>
          <w:rtl w:val="0"/>
        </w:rPr>
        <w:t xml:space="preserve">(1) Each approved or accredited public, private, denominational, or parochial school shall:</w:t>
      </w:r>
    </w:p>
    <w:p w:rsidR="00000000" w:rsidDel="00000000" w:rsidP="00000000" w:rsidRDefault="00000000" w:rsidRPr="00000000" w14:paraId="00000032">
      <w:pPr>
        <w:shd w:fill="ffffff" w:val="clear"/>
        <w:spacing w:after="280" w:line="240" w:lineRule="auto"/>
        <w:jc w:val="both"/>
        <w:rPr>
          <w:sz w:val="28"/>
          <w:szCs w:val="28"/>
        </w:rPr>
      </w:pPr>
      <w:r w:rsidDel="00000000" w:rsidR="00000000" w:rsidRPr="00000000">
        <w:rPr>
          <w:sz w:val="28"/>
          <w:szCs w:val="28"/>
          <w:rtl w:val="0"/>
        </w:rPr>
        <w:t xml:space="preserve">(a) Make available training approved by the chief medical officer on how to recognize the symptoms of a concussion or brain injury and how to seek proper medical treatment for a concussion or brain injury to all coaches of school athletic teams;</w:t>
      </w:r>
    </w:p>
    <w:p w:rsidR="00000000" w:rsidDel="00000000" w:rsidP="00000000" w:rsidRDefault="00000000" w:rsidRPr="00000000" w14:paraId="00000033">
      <w:pPr>
        <w:shd w:fill="ffffff" w:val="clear"/>
        <w:spacing w:after="280" w:line="240" w:lineRule="auto"/>
        <w:jc w:val="both"/>
        <w:rPr>
          <w:sz w:val="28"/>
          <w:szCs w:val="28"/>
        </w:rPr>
      </w:pPr>
      <w:r w:rsidDel="00000000" w:rsidR="00000000" w:rsidRPr="00000000">
        <w:rPr>
          <w:sz w:val="28"/>
          <w:szCs w:val="28"/>
          <w:rtl w:val="0"/>
        </w:rPr>
        <w:t xml:space="preserve">(b) Require that concussion and brain injury information be provided on an annual basis to students and the students' parents or guardians prior to such students initiating practice or competition. The information provided to students and the students' parents or guardians shall include, but need not be limited to:</w:t>
      </w:r>
    </w:p>
    <w:p w:rsidR="00000000" w:rsidDel="00000000" w:rsidP="00000000" w:rsidRDefault="00000000" w:rsidRPr="00000000" w14:paraId="00000034">
      <w:pPr>
        <w:shd w:fill="ffffff" w:val="clear"/>
        <w:spacing w:after="280" w:line="240" w:lineRule="auto"/>
        <w:jc w:val="both"/>
        <w:rPr>
          <w:sz w:val="28"/>
          <w:szCs w:val="28"/>
        </w:rPr>
      </w:pPr>
      <w:r w:rsidDel="00000000" w:rsidR="00000000" w:rsidRPr="00000000">
        <w:rPr>
          <w:sz w:val="28"/>
          <w:szCs w:val="28"/>
          <w:rtl w:val="0"/>
        </w:rPr>
        <w:t xml:space="preserve">(i) The signs and symptoms of a concussion;</w:t>
      </w:r>
    </w:p>
    <w:p w:rsidR="00000000" w:rsidDel="00000000" w:rsidP="00000000" w:rsidRDefault="00000000" w:rsidRPr="00000000" w14:paraId="00000035">
      <w:pPr>
        <w:shd w:fill="ffffff" w:val="clear"/>
        <w:spacing w:after="280" w:line="240" w:lineRule="auto"/>
        <w:jc w:val="both"/>
        <w:rPr>
          <w:sz w:val="28"/>
          <w:szCs w:val="28"/>
        </w:rPr>
      </w:pPr>
      <w:r w:rsidDel="00000000" w:rsidR="00000000" w:rsidRPr="00000000">
        <w:rPr>
          <w:sz w:val="28"/>
          <w:szCs w:val="28"/>
          <w:rtl w:val="0"/>
        </w:rPr>
        <w:t xml:space="preserve">(ii) The risks posed by sustaining a concussion; and</w:t>
      </w:r>
    </w:p>
    <w:p w:rsidR="00000000" w:rsidDel="00000000" w:rsidP="00000000" w:rsidRDefault="00000000" w:rsidRPr="00000000" w14:paraId="00000036">
      <w:pPr>
        <w:shd w:fill="ffffff" w:val="clear"/>
        <w:spacing w:after="280" w:line="240" w:lineRule="auto"/>
        <w:jc w:val="both"/>
        <w:rPr>
          <w:sz w:val="28"/>
          <w:szCs w:val="28"/>
        </w:rPr>
      </w:pPr>
      <w:r w:rsidDel="00000000" w:rsidR="00000000" w:rsidRPr="00000000">
        <w:rPr>
          <w:sz w:val="28"/>
          <w:szCs w:val="28"/>
          <w:rtl w:val="0"/>
        </w:rPr>
        <w:t xml:space="preserve">(iii) The actions a student should take in response to sustaining a concussion, including the notification of his or her coaches; and</w:t>
      </w:r>
    </w:p>
    <w:p w:rsidR="00000000" w:rsidDel="00000000" w:rsidP="00000000" w:rsidRDefault="00000000" w:rsidRPr="00000000" w14:paraId="00000037">
      <w:pPr>
        <w:shd w:fill="ffffff" w:val="clear"/>
        <w:spacing w:after="280" w:line="240" w:lineRule="auto"/>
        <w:jc w:val="both"/>
        <w:rPr>
          <w:sz w:val="28"/>
          <w:szCs w:val="28"/>
        </w:rPr>
      </w:pPr>
      <w:r w:rsidDel="00000000" w:rsidR="00000000" w:rsidRPr="00000000">
        <w:rPr>
          <w:sz w:val="28"/>
          <w:szCs w:val="28"/>
          <w:rtl w:val="0"/>
        </w:rPr>
        <w:t xml:space="preserve">(c) Establish a return to learn protocol for students that have sustained a concussion. The return to learn protocol shall recognize that students who have sustained a concussion and returned to school may need informal or formal accommodations, modifications of curriculum, and monitoring by medical or academic staff until the student is fully recovered.</w:t>
      </w:r>
    </w:p>
    <w:p w:rsidR="00000000" w:rsidDel="00000000" w:rsidP="00000000" w:rsidRDefault="00000000" w:rsidRPr="00000000" w14:paraId="00000038">
      <w:pPr>
        <w:shd w:fill="ffffff" w:val="clear"/>
        <w:spacing w:after="280" w:line="240" w:lineRule="auto"/>
        <w:jc w:val="both"/>
        <w:rPr>
          <w:sz w:val="28"/>
          <w:szCs w:val="28"/>
        </w:rPr>
      </w:pPr>
      <w:r w:rsidDel="00000000" w:rsidR="00000000" w:rsidRPr="00000000">
        <w:rPr>
          <w:sz w:val="28"/>
          <w:szCs w:val="28"/>
          <w:rtl w:val="0"/>
        </w:rPr>
        <w:t xml:space="preserve">(2)(a) A student who participates on a school athletic team shall be removed from a practice or game when he or she is reasonably suspected of having sustained a concussion or brain injury in such practice or game after observation by a coach or a licensed health care professional who is professionally affiliated with or contracted by the school. Such student shall not be permitted to participate in any school supervised team athletic activities involving physical exertion, including, but not limited to, practices or games, until the student (i) has been evaluated by a licensed health care professional, (ii) has received written and signed clearance to resume participation in athletic activities from the licensed health care professional, and (iii) has submitted the written and signed clearance to resume participation in athletic activities to the school accompanied by written permission to resume participation from the student's parent or guardian.</w:t>
      </w:r>
    </w:p>
    <w:p w:rsidR="00000000" w:rsidDel="00000000" w:rsidP="00000000" w:rsidRDefault="00000000" w:rsidRPr="00000000" w14:paraId="00000039">
      <w:pPr>
        <w:shd w:fill="ffffff" w:val="clear"/>
        <w:spacing w:after="280" w:line="240" w:lineRule="auto"/>
        <w:jc w:val="both"/>
        <w:rPr>
          <w:sz w:val="28"/>
          <w:szCs w:val="28"/>
        </w:rPr>
      </w:pPr>
      <w:r w:rsidDel="00000000" w:rsidR="00000000" w:rsidRPr="00000000">
        <w:rPr>
          <w:sz w:val="28"/>
          <w:szCs w:val="28"/>
          <w:rtl w:val="0"/>
        </w:rPr>
        <w:t xml:space="preserve">(b) If a student is reasonably suspected after observation of having sustained a concussion or brain injury and is removed from an athletic activity under subdivision (2)(a) of this section, the parent or guardian of the student shall be notified by the school of the date and approximate time of the injury suffered by the student, the signs and symptoms of a concussion or brain injury that were observed, and any actions taken to treat the student.</w:t>
      </w:r>
    </w:p>
    <w:p w:rsidR="00000000" w:rsidDel="00000000" w:rsidP="00000000" w:rsidRDefault="00000000" w:rsidRPr="00000000" w14:paraId="0000003A">
      <w:pPr>
        <w:shd w:fill="ffffff" w:val="clear"/>
        <w:spacing w:after="280" w:line="240" w:lineRule="auto"/>
        <w:jc w:val="both"/>
        <w:rPr>
          <w:sz w:val="28"/>
          <w:szCs w:val="28"/>
        </w:rPr>
      </w:pPr>
      <w:r w:rsidDel="00000000" w:rsidR="00000000" w:rsidRPr="00000000">
        <w:rPr>
          <w:sz w:val="28"/>
          <w:szCs w:val="28"/>
          <w:rtl w:val="0"/>
        </w:rPr>
        <w:t xml:space="preserve">(c) Nothing in this subsection shall be construed to require any school to provide for the presence of a licensed health care professional at any practice or game.</w:t>
      </w:r>
    </w:p>
    <w:p w:rsidR="00000000" w:rsidDel="00000000" w:rsidP="00000000" w:rsidRDefault="00000000" w:rsidRPr="00000000" w14:paraId="0000003B">
      <w:pPr>
        <w:shd w:fill="ffffff" w:val="clear"/>
        <w:spacing w:after="280" w:line="240" w:lineRule="auto"/>
        <w:jc w:val="both"/>
        <w:rPr>
          <w:sz w:val="28"/>
          <w:szCs w:val="28"/>
        </w:rPr>
      </w:pPr>
      <w:r w:rsidDel="00000000" w:rsidR="00000000" w:rsidRPr="00000000">
        <w:rPr>
          <w:sz w:val="28"/>
          <w:szCs w:val="28"/>
          <w:rtl w:val="0"/>
        </w:rPr>
        <w:t xml:space="preserve">(d) The signature of an individual who represents that he or she is a licensed health care professional on a written clearance to resume participation that is provided to a school shall be deemed to be conclusive and reliable evidence that the individual who signed the clearance is a licensed health care professional. The school shall not be required to determine or verify the individual's qualifications.</w:t>
      </w:r>
    </w:p>
    <w:p w:rsidR="00000000" w:rsidDel="00000000" w:rsidP="00000000" w:rsidRDefault="00000000" w:rsidRPr="00000000" w14:paraId="0000003C">
      <w:pPr>
        <w:spacing w:after="0" w:line="240" w:lineRule="auto"/>
        <w:jc w:val="both"/>
        <w:rPr>
          <w:b w:val="1"/>
          <w:color w:val="000000"/>
          <w:sz w:val="28"/>
          <w:szCs w:val="28"/>
        </w:rPr>
      </w:pPr>
      <w:r w:rsidDel="00000000" w:rsidR="00000000" w:rsidRPr="00000000">
        <w:rPr>
          <w:b w:val="1"/>
          <w:color w:val="000000"/>
          <w:sz w:val="28"/>
          <w:szCs w:val="28"/>
          <w:rtl w:val="0"/>
        </w:rPr>
        <w:t xml:space="preserve">Section 71-9105. City, village, business, or nonprofit organization; duties; participant in athletic activity; actions required; notice to parent or guardian; effect of signature of licensed health care professional </w:t>
      </w:r>
    </w:p>
    <w:p w:rsidR="00000000" w:rsidDel="00000000" w:rsidP="00000000" w:rsidRDefault="00000000" w:rsidRPr="00000000" w14:paraId="0000003D">
      <w:pPr>
        <w:spacing w:after="0" w:line="240" w:lineRule="auto"/>
        <w:jc w:val="both"/>
        <w:rPr>
          <w:color w:val="000000"/>
          <w:sz w:val="28"/>
          <w:szCs w:val="28"/>
        </w:rPr>
      </w:pPr>
      <w:r w:rsidDel="00000000" w:rsidR="00000000" w:rsidRPr="00000000">
        <w:rPr>
          <w:color w:val="000000"/>
          <w:sz w:val="28"/>
          <w:szCs w:val="28"/>
          <w:rtl w:val="0"/>
        </w:rPr>
        <w:t xml:space="preserve">(1) Any city, village, business, or nonprofit organization that organizes an athletic activity in which the athletes are nineteen years of age or younger and are required to pay a fee to participate in the athletic activity or whose cost to participate in the athletic activity is sponsored by a business or nonprofit organization shall: </w:t>
      </w:r>
    </w:p>
    <w:p w:rsidR="00000000" w:rsidDel="00000000" w:rsidP="00000000" w:rsidRDefault="00000000" w:rsidRPr="00000000" w14:paraId="0000003E">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3F">
      <w:pPr>
        <w:spacing w:after="0" w:line="240" w:lineRule="auto"/>
        <w:jc w:val="both"/>
        <w:rPr>
          <w:color w:val="000000"/>
          <w:sz w:val="28"/>
          <w:szCs w:val="28"/>
        </w:rPr>
      </w:pPr>
      <w:r w:rsidDel="00000000" w:rsidR="00000000" w:rsidRPr="00000000">
        <w:rPr>
          <w:color w:val="000000"/>
          <w:sz w:val="28"/>
          <w:szCs w:val="28"/>
          <w:rtl w:val="0"/>
        </w:rPr>
        <w:t xml:space="preserve">(a) Make available training approved by the chief medical officer on how to recognize the symptoms of a concussion or brain injury and how to seek proper medical treatment for a concussion or brain injury to all coaches; and </w:t>
      </w:r>
    </w:p>
    <w:p w:rsidR="00000000" w:rsidDel="00000000" w:rsidP="00000000" w:rsidRDefault="00000000" w:rsidRPr="00000000" w14:paraId="00000040">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41">
      <w:pPr>
        <w:spacing w:after="0" w:line="240" w:lineRule="auto"/>
        <w:jc w:val="both"/>
        <w:rPr>
          <w:color w:val="000000"/>
          <w:sz w:val="28"/>
          <w:szCs w:val="28"/>
        </w:rPr>
      </w:pPr>
      <w:r w:rsidDel="00000000" w:rsidR="00000000" w:rsidRPr="00000000">
        <w:rPr>
          <w:color w:val="000000"/>
          <w:sz w:val="28"/>
          <w:szCs w:val="28"/>
          <w:rtl w:val="0"/>
        </w:rPr>
        <w:t xml:space="preserve">(b) Provide information on concussions and brain injuries to all coaches and athletes and to a parent or guardian of each athlete that shall include, but need not be limited to: </w:t>
      </w:r>
    </w:p>
    <w:p w:rsidR="00000000" w:rsidDel="00000000" w:rsidP="00000000" w:rsidRDefault="00000000" w:rsidRPr="00000000" w14:paraId="00000042">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43">
      <w:pPr>
        <w:spacing w:after="0" w:line="240" w:lineRule="auto"/>
        <w:jc w:val="both"/>
        <w:rPr>
          <w:color w:val="000000"/>
          <w:sz w:val="28"/>
          <w:szCs w:val="28"/>
        </w:rPr>
      </w:pPr>
      <w:r w:rsidDel="00000000" w:rsidR="00000000" w:rsidRPr="00000000">
        <w:rPr>
          <w:color w:val="000000"/>
          <w:sz w:val="28"/>
          <w:szCs w:val="28"/>
          <w:rtl w:val="0"/>
        </w:rPr>
        <w:t xml:space="preserve">(i) The signs and symptoms of a concussion; </w:t>
      </w:r>
    </w:p>
    <w:p w:rsidR="00000000" w:rsidDel="00000000" w:rsidP="00000000" w:rsidRDefault="00000000" w:rsidRPr="00000000" w14:paraId="00000044">
      <w:pPr>
        <w:spacing w:after="0" w:line="240" w:lineRule="auto"/>
        <w:jc w:val="both"/>
        <w:rPr>
          <w:color w:val="000000"/>
          <w:sz w:val="28"/>
          <w:szCs w:val="28"/>
        </w:rPr>
      </w:pPr>
      <w:r w:rsidDel="00000000" w:rsidR="00000000" w:rsidRPr="00000000">
        <w:rPr>
          <w:color w:val="000000"/>
          <w:sz w:val="28"/>
          <w:szCs w:val="28"/>
          <w:rtl w:val="0"/>
        </w:rPr>
        <w:t xml:space="preserve">(ii) The risks posed by sustaining a concussion; and </w:t>
      </w:r>
    </w:p>
    <w:p w:rsidR="00000000" w:rsidDel="00000000" w:rsidP="00000000" w:rsidRDefault="00000000" w:rsidRPr="00000000" w14:paraId="00000045">
      <w:pPr>
        <w:spacing w:after="0" w:line="240" w:lineRule="auto"/>
        <w:jc w:val="both"/>
        <w:rPr>
          <w:color w:val="000000"/>
          <w:sz w:val="28"/>
          <w:szCs w:val="28"/>
        </w:rPr>
      </w:pPr>
      <w:r w:rsidDel="00000000" w:rsidR="00000000" w:rsidRPr="00000000">
        <w:rPr>
          <w:color w:val="000000"/>
          <w:sz w:val="28"/>
          <w:szCs w:val="28"/>
          <w:rtl w:val="0"/>
        </w:rPr>
        <w:t xml:space="preserve">(iii) The actions an athlete should take in response to sustaining a concussion, including the notification of his or her coaches. </w:t>
      </w:r>
    </w:p>
    <w:p w:rsidR="00000000" w:rsidDel="00000000" w:rsidP="00000000" w:rsidRDefault="00000000" w:rsidRPr="00000000" w14:paraId="00000046">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47">
      <w:pPr>
        <w:spacing w:after="0" w:line="240" w:lineRule="auto"/>
        <w:jc w:val="both"/>
        <w:rPr>
          <w:color w:val="000000"/>
          <w:sz w:val="28"/>
          <w:szCs w:val="28"/>
        </w:rPr>
      </w:pPr>
      <w:r w:rsidDel="00000000" w:rsidR="00000000" w:rsidRPr="00000000">
        <w:rPr>
          <w:color w:val="000000"/>
          <w:sz w:val="28"/>
          <w:szCs w:val="28"/>
          <w:rtl w:val="0"/>
        </w:rPr>
        <w:t xml:space="preserve">(2)(a) An athlete who participates in an athletic activity under subsection (1) of this section shall be removed from a practice or game when he or she is reasonably suspected of having sustained a concussion or brain injury in such practice or game after observation by a coach or a licensed health care professional. Such athlete shall not be permitted to participate in any supervised athletic activities involving physical exertion, including, but not limited to, practices or games, until the athlete (i) has been evaluated by a licensed health care professional, (ii) has received written and signed clearance to resume participation in athletic activities from the licensed health care professional, and (iii) has submitted the written and signed clearance to resume participation in athletic activities to the city, village, business, or nonprofit organization that organized the athletic activity accompanied by written permission to resume participation from the athlete's parent or guardian. </w:t>
      </w:r>
    </w:p>
    <w:p w:rsidR="00000000" w:rsidDel="00000000" w:rsidP="00000000" w:rsidRDefault="00000000" w:rsidRPr="00000000" w14:paraId="00000048">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49">
      <w:pPr>
        <w:spacing w:after="0" w:line="240" w:lineRule="auto"/>
        <w:jc w:val="both"/>
        <w:rPr>
          <w:color w:val="000000"/>
          <w:sz w:val="28"/>
          <w:szCs w:val="28"/>
        </w:rPr>
      </w:pPr>
      <w:r w:rsidDel="00000000" w:rsidR="00000000" w:rsidRPr="00000000">
        <w:rPr>
          <w:color w:val="000000"/>
          <w:sz w:val="28"/>
          <w:szCs w:val="28"/>
          <w:rtl w:val="0"/>
        </w:rPr>
        <w:t xml:space="preserve">(b) If an athlete is reasonably suspected after observation of having sustained a concussion or brain injury and is removed from an athletic activity under subdivision (2)(a) of this section, the parent or guardian of the athlete shall be notified by the coach or a representative of the city, village, business, or nonprofit organization that organized the athletic activity of the date and approximate time of the injury suffered by the athlete, the signs and symptoms of a concussion or brain injury that were observed, and any actions taken to treat the athlete. </w:t>
      </w:r>
    </w:p>
    <w:p w:rsidR="00000000" w:rsidDel="00000000" w:rsidP="00000000" w:rsidRDefault="00000000" w:rsidRPr="00000000" w14:paraId="0000004A">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4B">
      <w:pPr>
        <w:spacing w:after="0" w:line="240" w:lineRule="auto"/>
        <w:jc w:val="both"/>
        <w:rPr>
          <w:color w:val="000000"/>
          <w:sz w:val="28"/>
          <w:szCs w:val="28"/>
        </w:rPr>
      </w:pPr>
      <w:r w:rsidDel="00000000" w:rsidR="00000000" w:rsidRPr="00000000">
        <w:rPr>
          <w:color w:val="000000"/>
          <w:sz w:val="28"/>
          <w:szCs w:val="28"/>
          <w:rtl w:val="0"/>
        </w:rPr>
        <w:t xml:space="preserve">(c) Nothing in this subsection shall be construed to require any city, village, business, or nonprofit organization to provide for the presence of a licensed health care professional at any practice or game. </w:t>
      </w:r>
    </w:p>
    <w:p w:rsidR="00000000" w:rsidDel="00000000" w:rsidP="00000000" w:rsidRDefault="00000000" w:rsidRPr="00000000" w14:paraId="0000004C">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4D">
      <w:pPr>
        <w:spacing w:after="0" w:line="240" w:lineRule="auto"/>
        <w:jc w:val="both"/>
        <w:rPr>
          <w:color w:val="000000"/>
          <w:sz w:val="28"/>
          <w:szCs w:val="28"/>
        </w:rPr>
      </w:pPr>
      <w:r w:rsidDel="00000000" w:rsidR="00000000" w:rsidRPr="00000000">
        <w:rPr>
          <w:color w:val="000000"/>
          <w:sz w:val="28"/>
          <w:szCs w:val="28"/>
          <w:rtl w:val="0"/>
        </w:rPr>
        <w:t xml:space="preserve">(d) The signature of an individual who represents that he or she is a licensed health care professional on a written clearance to resume participation that is provided to a city, village, business, or nonprofit organization shall be deemed to be conclusive and reliable evidence that the individual who signed the clearance is a licensed health care professional. The city, village, business, or nonprofit organization shall not be required to determine or verify the individual's qualifications. </w:t>
      </w:r>
    </w:p>
    <w:p w:rsidR="00000000" w:rsidDel="00000000" w:rsidP="00000000" w:rsidRDefault="00000000" w:rsidRPr="00000000" w14:paraId="0000004E">
      <w:pP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4F">
      <w:pPr>
        <w:spacing w:after="0" w:line="240" w:lineRule="auto"/>
        <w:jc w:val="both"/>
        <w:rPr>
          <w:b w:val="1"/>
          <w:color w:val="000000"/>
          <w:sz w:val="28"/>
          <w:szCs w:val="28"/>
        </w:rPr>
      </w:pPr>
      <w:r w:rsidDel="00000000" w:rsidR="00000000" w:rsidRPr="00000000">
        <w:rPr>
          <w:b w:val="1"/>
          <w:color w:val="000000"/>
          <w:sz w:val="28"/>
          <w:szCs w:val="28"/>
          <w:rtl w:val="0"/>
        </w:rPr>
        <w:t xml:space="preserve">Section 71-9106. Act; how construed </w:t>
      </w:r>
    </w:p>
    <w:p w:rsidR="00000000" w:rsidDel="00000000" w:rsidP="00000000" w:rsidRDefault="00000000" w:rsidRPr="00000000" w14:paraId="00000050">
      <w:pPr>
        <w:shd w:fill="ffffff" w:val="clear"/>
        <w:spacing w:after="0" w:line="240" w:lineRule="auto"/>
        <w:jc w:val="both"/>
        <w:rPr>
          <w:color w:val="212529"/>
          <w:sz w:val="28"/>
          <w:szCs w:val="28"/>
        </w:rPr>
      </w:pPr>
      <w:r w:rsidDel="00000000" w:rsidR="00000000" w:rsidRPr="00000000">
        <w:rPr>
          <w:color w:val="000000"/>
          <w:sz w:val="28"/>
          <w:szCs w:val="28"/>
          <w:rtl w:val="0"/>
        </w:rPr>
        <w:t xml:space="preserve">Nothing in the Concussion Awareness Act shall be construed to create liability for or modify the liability or immunity of a school, school district, city, village, business, or nonprofit organization or the officers, employees, or volunteers of any such school, school district, city, village, business, or nonprofit organization.</w:t>
      </w:r>
      <w:r w:rsidDel="00000000" w:rsidR="00000000" w:rsidRPr="00000000">
        <w:rPr>
          <w:rtl w:val="0"/>
        </w:rPr>
      </w:r>
    </w:p>
    <w:p w:rsidR="00000000" w:rsidDel="00000000" w:rsidP="00000000" w:rsidRDefault="00000000" w:rsidRPr="00000000" w14:paraId="00000051">
      <w:pPr>
        <w:shd w:fill="ffffff" w:val="clea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52">
      <w:pPr>
        <w:shd w:fill="ffffff" w:val="clear"/>
        <w:spacing w:after="0" w:line="240" w:lineRule="auto"/>
        <w:jc w:val="both"/>
        <w:rPr>
          <w:b w:val="1"/>
          <w:sz w:val="28"/>
          <w:szCs w:val="28"/>
        </w:rPr>
      </w:pPr>
      <w:r w:rsidDel="00000000" w:rsidR="00000000" w:rsidRPr="00000000">
        <w:rPr>
          <w:b w:val="1"/>
          <w:sz w:val="28"/>
          <w:szCs w:val="28"/>
          <w:rtl w:val="0"/>
        </w:rPr>
        <w:t xml:space="preserve">Source:</w:t>
      </w:r>
    </w:p>
    <w:p w:rsidR="00000000" w:rsidDel="00000000" w:rsidP="00000000" w:rsidRDefault="00000000" w:rsidRPr="00000000" w14:paraId="00000053">
      <w:pPr>
        <w:numPr>
          <w:ilvl w:val="0"/>
          <w:numId w:val="1"/>
        </w:numPr>
        <w:shd w:fill="ffffff" w:val="clear"/>
        <w:spacing w:after="0" w:line="240" w:lineRule="auto"/>
        <w:ind w:left="360" w:hanging="360"/>
        <w:jc w:val="both"/>
        <w:rPr>
          <w:sz w:val="28"/>
          <w:szCs w:val="28"/>
        </w:rPr>
      </w:pPr>
      <w:hyperlink r:id="rId8">
        <w:r w:rsidDel="00000000" w:rsidR="00000000" w:rsidRPr="00000000">
          <w:rPr>
            <w:sz w:val="28"/>
            <w:szCs w:val="28"/>
            <w:rtl w:val="0"/>
          </w:rPr>
          <w:t xml:space="preserve">Laws 2011, LB260, § 4</w:t>
        </w:r>
      </w:hyperlink>
      <w:r w:rsidDel="00000000" w:rsidR="00000000" w:rsidRPr="00000000">
        <w:rPr>
          <w:rtl w:val="0"/>
        </w:rPr>
      </w:r>
    </w:p>
    <w:p w:rsidR="00000000" w:rsidDel="00000000" w:rsidP="00000000" w:rsidRDefault="00000000" w:rsidRPr="00000000" w14:paraId="00000054">
      <w:pPr>
        <w:numPr>
          <w:ilvl w:val="0"/>
          <w:numId w:val="1"/>
        </w:numPr>
        <w:shd w:fill="ffffff" w:val="clear"/>
        <w:spacing w:after="0" w:line="240" w:lineRule="auto"/>
        <w:ind w:left="360" w:hanging="360"/>
        <w:jc w:val="both"/>
        <w:rPr>
          <w:sz w:val="28"/>
          <w:szCs w:val="28"/>
        </w:rPr>
      </w:pPr>
      <w:hyperlink r:id="rId9">
        <w:r w:rsidDel="00000000" w:rsidR="00000000" w:rsidRPr="00000000">
          <w:rPr>
            <w:sz w:val="28"/>
            <w:szCs w:val="28"/>
            <w:rtl w:val="0"/>
          </w:rPr>
          <w:t xml:space="preserve">Laws 2014, LB923, § 5</w:t>
        </w:r>
      </w:hyperlink>
      <w:r w:rsidDel="00000000" w:rsidR="00000000" w:rsidRPr="00000000">
        <w:rPr>
          <w:rtl w:val="0"/>
        </w:rPr>
      </w:r>
    </w:p>
    <w:p w:rsidR="00000000" w:rsidDel="00000000" w:rsidP="00000000" w:rsidRDefault="00000000" w:rsidRPr="00000000" w14:paraId="00000055">
      <w:pPr>
        <w:jc w:val="both"/>
        <w:rPr>
          <w:sz w:val="28"/>
          <w:szCs w:val="28"/>
        </w:rPr>
      </w:pPr>
      <w:r w:rsidDel="00000000" w:rsidR="00000000" w:rsidRPr="00000000">
        <w:rPr>
          <w:rtl w:val="0"/>
        </w:rPr>
      </w:r>
    </w:p>
    <w:p w:rsidR="00000000" w:rsidDel="00000000" w:rsidP="00000000" w:rsidRDefault="00000000" w:rsidRPr="00000000" w14:paraId="00000056">
      <w:pPr>
        <w:jc w:val="both"/>
        <w:rPr>
          <w:sz w:val="28"/>
          <w:szCs w:val="28"/>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after="0" w:before="240" w:line="276" w:lineRule="auto"/>
      <w:rPr>
        <w:i w:val="1"/>
        <w:sz w:val="20"/>
        <w:szCs w:val="20"/>
      </w:rPr>
    </w:pPr>
    <w:r w:rsidDel="00000000" w:rsidR="00000000" w:rsidRPr="00000000">
      <w:rPr>
        <w:b w:val="1"/>
        <w:i w:val="1"/>
        <w:sz w:val="20"/>
        <w:szCs w:val="20"/>
        <w:rtl w:val="0"/>
      </w:rPr>
      <w:t xml:space="preserve">Nebraska Brain Injury Advisory Council (BIAC) Toolkit                                                                              </w:t>
    </w:r>
    <w:r w:rsidDel="00000000" w:rsidR="00000000" w:rsidRPr="00000000">
      <w:rPr>
        <w:i w:val="1"/>
        <w:sz w:val="20"/>
        <w:szCs w:val="20"/>
        <w:rtl w:val="0"/>
      </w:rPr>
      <w:t xml:space="preserve">  November 2020</w:t>
    </w:r>
  </w:p>
  <w:p w:rsidR="00000000" w:rsidDel="00000000" w:rsidP="00000000" w:rsidRDefault="00000000" w:rsidRPr="00000000" w14:paraId="0000005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40898"/>
    <w:pPr>
      <w:tabs>
        <w:tab w:val="center" w:pos="4680"/>
        <w:tab w:val="right" w:pos="9360"/>
      </w:tabs>
      <w:spacing w:after="0" w:line="240" w:lineRule="auto"/>
    </w:pPr>
  </w:style>
  <w:style w:type="character" w:styleId="HeaderChar" w:customStyle="1">
    <w:name w:val="Header Char"/>
    <w:basedOn w:val="DefaultParagraphFont"/>
    <w:link w:val="Header"/>
    <w:uiPriority w:val="99"/>
    <w:rsid w:val="00E40898"/>
  </w:style>
  <w:style w:type="paragraph" w:styleId="Footer">
    <w:name w:val="footer"/>
    <w:basedOn w:val="Normal"/>
    <w:link w:val="FooterChar"/>
    <w:uiPriority w:val="99"/>
    <w:unhideWhenUsed w:val="1"/>
    <w:rsid w:val="00E40898"/>
    <w:pPr>
      <w:tabs>
        <w:tab w:val="center" w:pos="4680"/>
        <w:tab w:val="right" w:pos="9360"/>
      </w:tabs>
      <w:spacing w:after="0" w:line="240" w:lineRule="auto"/>
    </w:pPr>
  </w:style>
  <w:style w:type="character" w:styleId="FooterChar" w:customStyle="1">
    <w:name w:val="Footer Char"/>
    <w:basedOn w:val="DefaultParagraphFont"/>
    <w:link w:val="Footer"/>
    <w:uiPriority w:val="99"/>
    <w:rsid w:val="00E40898"/>
  </w:style>
  <w:style w:type="character" w:styleId="Hyperlink">
    <w:name w:val="Hyperlink"/>
    <w:basedOn w:val="DefaultParagraphFont"/>
    <w:uiPriority w:val="99"/>
    <w:unhideWhenUsed w:val="1"/>
    <w:rsid w:val="00E40898"/>
    <w:rPr>
      <w:color w:val="000066"/>
      <w:u w:val="single"/>
    </w:rPr>
  </w:style>
  <w:style w:type="table" w:styleId="TableGrid">
    <w:name w:val="Table Grid"/>
    <w:basedOn w:val="TableNormal"/>
    <w:uiPriority w:val="59"/>
    <w:rsid w:val="00E40898"/>
    <w:pPr>
      <w:spacing w:after="0" w:line="240" w:lineRule="auto"/>
    </w:p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E40898"/>
    <w:rPr>
      <w:b w:val="1"/>
      <w:bCs w:val="1"/>
    </w:rPr>
  </w:style>
  <w:style w:type="paragraph" w:styleId="Default" w:customStyle="1">
    <w:name w:val="Default"/>
    <w:rsid w:val="00F751CE"/>
    <w:pPr>
      <w:autoSpaceDE w:val="0"/>
      <w:autoSpaceDN w:val="0"/>
      <w:adjustRightInd w:val="0"/>
      <w:spacing w:after="0" w:line="240" w:lineRule="auto"/>
    </w:pPr>
    <w:rPr>
      <w:rFonts w:ascii="Arial" w:cs="Arial" w:hAnsi="Arial"/>
      <w:color w:val="000000"/>
      <w:sz w:val="24"/>
      <w:szCs w:val="24"/>
    </w:rPr>
  </w:style>
  <w:style w:type="paragraph" w:styleId="ListParagraph">
    <w:name w:val="List Paragraph"/>
    <w:basedOn w:val="Normal"/>
    <w:uiPriority w:val="34"/>
    <w:qFormat w:val="1"/>
    <w:rsid w:val="00E75A4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nebraskalegislature.gov/FloorDocs/103/PDF/Slip/LB923.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ducation.ne.gov/sped/birsst-brain-injury-regional-school-support-teams/" TargetMode="External"/><Relationship Id="rId8" Type="http://schemas.openxmlformats.org/officeDocument/2006/relationships/hyperlink" Target="https://nebraskalegislature.gov/FloorDocs/102/PDF/Slip/LB2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nq/CooohwyHe78MfthoD+L21pw==">AMUW2mURtRcRAqka7mdX0phQNUfOnUWIPpy4bW/MnDPjwCvyuhxALpoMzmJjwCGlKS0JvwODnOTPc8u8q8NHXYKAIkXXU/+R+Pi/XntrfgER04YDdKWX6B2GPgq/KnOIAv81kf7fY3NA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2020-06-10T20:23:00Z</dcterms:created>
  <dc:creator>Vaughn</dc:creator>
</cp:coreProperties>
</file>